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7687"/>
        <w:gridCol w:w="1294"/>
        <w:gridCol w:w="91"/>
      </w:tblGrid>
      <w:tr w:rsidR="0079225C" w:rsidRPr="000A00F9" w:rsidTr="00A000DE">
        <w:trPr>
          <w:gridAfter w:val="2"/>
          <w:wAfter w:w="763" w:type="pct"/>
          <w:tblCellSpacing w:w="0" w:type="dxa"/>
        </w:trPr>
        <w:tc>
          <w:tcPr>
            <w:tcW w:w="4237" w:type="pct"/>
            <w:hideMark/>
          </w:tcPr>
          <w:p w:rsidR="0079225C" w:rsidRPr="000A00F9" w:rsidRDefault="0079225C" w:rsidP="00A000DE">
            <w:pPr>
              <w:rPr>
                <w:bCs/>
              </w:rPr>
            </w:pPr>
          </w:p>
        </w:tc>
      </w:tr>
      <w:tr w:rsidR="0079225C" w:rsidRPr="00617181" w:rsidTr="00A000DE">
        <w:trPr>
          <w:tblCellSpacing w:w="0" w:type="dxa"/>
        </w:trPr>
        <w:tc>
          <w:tcPr>
            <w:tcW w:w="4950" w:type="pct"/>
            <w:gridSpan w:val="2"/>
            <w:hideMark/>
          </w:tcPr>
          <w:p w:rsidR="0079225C" w:rsidRPr="00617181" w:rsidRDefault="0079225C" w:rsidP="00A000DE">
            <w:pPr>
              <w:rPr>
                <w:b/>
                <w:bCs/>
              </w:rPr>
            </w:pPr>
          </w:p>
        </w:tc>
        <w:tc>
          <w:tcPr>
            <w:tcW w:w="50" w:type="pct"/>
            <w:hideMark/>
          </w:tcPr>
          <w:p w:rsidR="0079225C" w:rsidRPr="00617181" w:rsidRDefault="0079225C" w:rsidP="00A000DE">
            <w:pPr>
              <w:rPr>
                <w:bCs/>
              </w:rPr>
            </w:pPr>
          </w:p>
        </w:tc>
      </w:tr>
    </w:tbl>
    <w:p w:rsidR="0079225C" w:rsidRDefault="0079225C" w:rsidP="0079225C">
      <w:pPr>
        <w:rPr>
          <w:b/>
          <w:bCs/>
        </w:rPr>
      </w:pPr>
      <w:r w:rsidRPr="0079225C">
        <w:rPr>
          <w:b/>
          <w:bCs/>
        </w:rPr>
        <w:t xml:space="preserve">Training </w:t>
      </w:r>
      <w:proofErr w:type="spellStart"/>
      <w:r w:rsidRPr="0079225C">
        <w:rPr>
          <w:b/>
          <w:bCs/>
        </w:rPr>
        <w:t>Disturbances</w:t>
      </w:r>
      <w:proofErr w:type="spellEnd"/>
      <w:r w:rsidRPr="0079225C">
        <w:rPr>
          <w:b/>
          <w:bCs/>
        </w:rPr>
        <w:t xml:space="preserve"> of Attachment Interview (DAI) (B1741)</w:t>
      </w:r>
    </w:p>
    <w:p w:rsidR="0079225C" w:rsidRDefault="0079225C" w:rsidP="0079225C">
      <w:pPr>
        <w:rPr>
          <w:b/>
          <w:bCs/>
        </w:rPr>
      </w:pPr>
    </w:p>
    <w:p w:rsidR="0079225C" w:rsidRPr="0079225C" w:rsidRDefault="0079225C" w:rsidP="0079225C">
      <w:pPr>
        <w:rPr>
          <w:bCs/>
        </w:rPr>
      </w:pPr>
      <w:r w:rsidRPr="0079225C">
        <w:rPr>
          <w:bCs/>
        </w:rPr>
        <w:t xml:space="preserve">Binnen het werkveld van de jeugdzorg en jeugd-ggz is in toenemende mate vraag naar diagnostische methoden en middelen voor de onderkenning van de psychopathologische vorm van hechtingsproblematiek: verstoorde gehechtheid (RAD en DSED, volgens de DSM-5). Dat deze vraag legitiem is, bewijst onderzoek dat heeft uitgewezen dat de prevalentie van verstoord gehechtheidsgedrag binnen bepaalde risicogroepen (zoals de pleegzorg, jeugd-GGZ en LVB-zorg) substantieel is (10-40 procent). In het diagnostisch proces is het afbakenen van verstoorde gehechtheid van niet-pathologische vormen van onveilige gehechtheid een belangrijk aandachtspunt. Het </w:t>
      </w:r>
      <w:proofErr w:type="spellStart"/>
      <w:r w:rsidRPr="0079225C">
        <w:rPr>
          <w:bCs/>
        </w:rPr>
        <w:t>Disturbances</w:t>
      </w:r>
      <w:proofErr w:type="spellEnd"/>
      <w:r w:rsidRPr="0079225C">
        <w:rPr>
          <w:bCs/>
        </w:rPr>
        <w:t xml:space="preserve"> of Attachment Interview (DAI, </w:t>
      </w:r>
      <w:proofErr w:type="spellStart"/>
      <w:r w:rsidRPr="0079225C">
        <w:rPr>
          <w:bCs/>
        </w:rPr>
        <w:t>Smyke</w:t>
      </w:r>
      <w:proofErr w:type="spellEnd"/>
      <w:r w:rsidRPr="0079225C">
        <w:rPr>
          <w:bCs/>
        </w:rPr>
        <w:t xml:space="preserve"> &amp; </w:t>
      </w:r>
      <w:proofErr w:type="spellStart"/>
      <w:r w:rsidRPr="0079225C">
        <w:rPr>
          <w:bCs/>
        </w:rPr>
        <w:t>Zeanah</w:t>
      </w:r>
      <w:proofErr w:type="spellEnd"/>
      <w:r w:rsidRPr="0079225C">
        <w:rPr>
          <w:bCs/>
        </w:rPr>
        <w:t xml:space="preserve">, 1999, vertaald door Oosterman &amp; </w:t>
      </w:r>
      <w:proofErr w:type="spellStart"/>
      <w:r w:rsidRPr="0079225C">
        <w:rPr>
          <w:bCs/>
        </w:rPr>
        <w:t>Schuengel</w:t>
      </w:r>
      <w:proofErr w:type="spellEnd"/>
      <w:r w:rsidRPr="0079225C">
        <w:rPr>
          <w:bCs/>
        </w:rPr>
        <w:t>, 2004) is een semigestructureerd interview naar verstoord gehechtheidsgedrag, dat afgenomen wordt bij een primaire opvoeder van het kind en goed te gebruiken is als onderdeel van het diagnostisch proces. Het instrument sluit goed aan bij de beschrijving van de DSM-5 criteria voor RAD en DSED, is onderzocht op validiteit en wordt in de meest recente wetenschappelijke onderzoeken naar verstoorde gehechtheid gebruikt.</w:t>
      </w:r>
    </w:p>
    <w:p w:rsidR="0079225C" w:rsidRPr="0079225C" w:rsidRDefault="0079225C" w:rsidP="0079225C">
      <w:pPr>
        <w:rPr>
          <w:bCs/>
        </w:rPr>
      </w:pPr>
    </w:p>
    <w:p w:rsidR="0079225C" w:rsidRDefault="0079225C" w:rsidP="0079225C">
      <w:pPr>
        <w:rPr>
          <w:bCs/>
        </w:rPr>
      </w:pPr>
      <w:r w:rsidRPr="0079225C">
        <w:rPr>
          <w:bCs/>
        </w:rPr>
        <w:t>In de training is aandacht voor de gedragsuitingen bij de kernconcepten en voor de interviewtechniek om die informatie te achterhalen in het DAI-interview met een opvoeder. Ook is er supervisie bij het uitvoeren en beoordelen van de DAI-interviews. Je leert op betrouwbare wijze werken met dit nieuwe instrument, versterk je jouw diagnostisch proces en ben je beter in staat om verstoorde gehechtheid te onderscheiden van hechtingsproblematiek.</w:t>
      </w:r>
      <w:r w:rsidRPr="0079225C">
        <w:rPr>
          <w:bCs/>
        </w:rPr>
        <w:tab/>
      </w:r>
      <w:r w:rsidRPr="0079225C">
        <w:rPr>
          <w:bCs/>
        </w:rPr>
        <w:tab/>
      </w:r>
      <w:r w:rsidRPr="0079225C">
        <w:rPr>
          <w:bCs/>
        </w:rPr>
        <w:tab/>
      </w:r>
      <w:r w:rsidRPr="0079225C">
        <w:rPr>
          <w:bCs/>
        </w:rPr>
        <w:tab/>
      </w:r>
      <w:r w:rsidRPr="0079225C">
        <w:rPr>
          <w:bCs/>
        </w:rPr>
        <w:tab/>
      </w:r>
    </w:p>
    <w:p w:rsidR="0079225C" w:rsidRDefault="0079225C" w:rsidP="0079225C">
      <w:pPr>
        <w:rPr>
          <w:bCs/>
        </w:rPr>
      </w:pPr>
    </w:p>
    <w:p w:rsidR="0079225C" w:rsidRPr="008C704D" w:rsidRDefault="0079225C" w:rsidP="0079225C">
      <w:pPr>
        <w:rPr>
          <w:bCs/>
        </w:rPr>
      </w:pPr>
      <w:r>
        <w:rPr>
          <w:b/>
          <w:bCs/>
        </w:rPr>
        <w:t>Doel</w:t>
      </w:r>
    </w:p>
    <w:p w:rsidR="0079225C" w:rsidRPr="00B70EE2" w:rsidRDefault="0079225C" w:rsidP="0079225C">
      <w:pPr>
        <w:rPr>
          <w:bCs/>
        </w:rPr>
      </w:pPr>
      <w:r w:rsidRPr="0079225C">
        <w:rPr>
          <w:bCs/>
        </w:rPr>
        <w:t xml:space="preserve">Je bent in staat het </w:t>
      </w:r>
      <w:proofErr w:type="spellStart"/>
      <w:r w:rsidRPr="0079225C">
        <w:rPr>
          <w:bCs/>
        </w:rPr>
        <w:t>Disturbances</w:t>
      </w:r>
      <w:proofErr w:type="spellEnd"/>
      <w:r w:rsidRPr="0079225C">
        <w:rPr>
          <w:bCs/>
        </w:rPr>
        <w:t xml:space="preserve"> of Attachment Interview (DAI) betrouwbaar af te nemen, te scoren en te interpreteren. Je kunt differentiëren tussen gehechtheidsgedrag en verstoord gehechtheidsgedrag.</w:t>
      </w:r>
      <w:r w:rsidRPr="006D6B3F">
        <w:rPr>
          <w:bCs/>
        </w:rPr>
        <w:br/>
      </w:r>
    </w:p>
    <w:p w:rsidR="0079225C" w:rsidRPr="00617181" w:rsidRDefault="0079225C" w:rsidP="0079225C">
      <w:pPr>
        <w:rPr>
          <w:bCs/>
        </w:rPr>
      </w:pPr>
      <w:r w:rsidRPr="00617181">
        <w:rPr>
          <w:b/>
          <w:bCs/>
        </w:rPr>
        <w:t>Doelgroep</w:t>
      </w:r>
    </w:p>
    <w:p w:rsidR="0079225C" w:rsidRDefault="0079225C" w:rsidP="0079225C">
      <w:pPr>
        <w:rPr>
          <w:b/>
          <w:bCs/>
        </w:rPr>
      </w:pPr>
      <w:proofErr w:type="spellStart"/>
      <w:r w:rsidRPr="0079225C">
        <w:rPr>
          <w:bCs/>
        </w:rPr>
        <w:t>Gz</w:t>
      </w:r>
      <w:proofErr w:type="spellEnd"/>
      <w:r w:rsidRPr="0079225C">
        <w:rPr>
          <w:bCs/>
        </w:rPr>
        <w:t>-psychologen, klinisch (neuro)psychologen, psychotherapeuten, (kinder- en jeugd)psychiaters, kinder- en jeugdpsychologen (specialist) en orthopedagogen-generalist. De training is ook toegankelijk voor pedagogen en psychologen werkzaam als wetenschappelijk onderzoeker. Er wordt verwacht dat je over een goede basiskennis van gehechtheid en gehechtheidstheorie beschikt.</w:t>
      </w:r>
    </w:p>
    <w:p w:rsidR="0079225C" w:rsidRDefault="0079225C" w:rsidP="0079225C">
      <w:pPr>
        <w:rPr>
          <w:b/>
          <w:bCs/>
        </w:rPr>
      </w:pPr>
    </w:p>
    <w:p w:rsidR="0079225C" w:rsidRDefault="0079225C" w:rsidP="0079225C">
      <w:pPr>
        <w:rPr>
          <w:bCs/>
        </w:rPr>
      </w:pPr>
      <w:r w:rsidRPr="00617181">
        <w:rPr>
          <w:b/>
          <w:bCs/>
        </w:rPr>
        <w:t>Inhoud</w:t>
      </w:r>
    </w:p>
    <w:p w:rsidR="0079225C" w:rsidRPr="0079225C" w:rsidRDefault="0079225C" w:rsidP="0079225C">
      <w:pPr>
        <w:rPr>
          <w:bCs/>
        </w:rPr>
      </w:pPr>
      <w:r w:rsidRPr="0079225C">
        <w:rPr>
          <w:bCs/>
        </w:rPr>
        <w:t>Centraal in de training staan interview-, scorings- en codeervaardigheden.</w:t>
      </w:r>
    </w:p>
    <w:p w:rsidR="0079225C" w:rsidRPr="0079225C" w:rsidRDefault="0079225C" w:rsidP="0079225C">
      <w:pPr>
        <w:rPr>
          <w:bCs/>
        </w:rPr>
      </w:pPr>
    </w:p>
    <w:p w:rsidR="0079225C" w:rsidRDefault="0079225C" w:rsidP="0079225C">
      <w:pPr>
        <w:rPr>
          <w:bCs/>
        </w:rPr>
      </w:pPr>
      <w:r w:rsidRPr="0079225C">
        <w:rPr>
          <w:bCs/>
        </w:rPr>
        <w:t>Daarnaast komen de volgende onderwerpen aan bod:</w:t>
      </w:r>
    </w:p>
    <w:p w:rsidR="0079225C" w:rsidRPr="0079225C" w:rsidRDefault="0079225C" w:rsidP="0079225C">
      <w:pPr>
        <w:rPr>
          <w:bCs/>
        </w:rPr>
      </w:pPr>
      <w:r w:rsidRPr="0079225C">
        <w:rPr>
          <w:bCs/>
        </w:rPr>
        <w:t>•opfrissen gehechtheidstheorie (</w:t>
      </w:r>
      <w:proofErr w:type="spellStart"/>
      <w:r w:rsidRPr="0079225C">
        <w:rPr>
          <w:bCs/>
        </w:rPr>
        <w:t>Bowlby</w:t>
      </w:r>
      <w:proofErr w:type="spellEnd"/>
      <w:r w:rsidRPr="0079225C">
        <w:rPr>
          <w:bCs/>
        </w:rPr>
        <w:t>,</w:t>
      </w:r>
      <w:r>
        <w:rPr>
          <w:bCs/>
        </w:rPr>
        <w:t xml:space="preserve"> </w:t>
      </w:r>
      <w:proofErr w:type="spellStart"/>
      <w:r>
        <w:rPr>
          <w:bCs/>
        </w:rPr>
        <w:t>Ainsworth</w:t>
      </w:r>
      <w:proofErr w:type="spellEnd"/>
      <w:r>
        <w:rPr>
          <w:bCs/>
        </w:rPr>
        <w:t xml:space="preserve">, </w:t>
      </w:r>
      <w:proofErr w:type="spellStart"/>
      <w:r>
        <w:rPr>
          <w:bCs/>
        </w:rPr>
        <w:t>Circle</w:t>
      </w:r>
      <w:proofErr w:type="spellEnd"/>
      <w:r>
        <w:rPr>
          <w:bCs/>
        </w:rPr>
        <w:t xml:space="preserve"> of Security)</w:t>
      </w:r>
    </w:p>
    <w:p w:rsidR="0079225C" w:rsidRPr="0079225C" w:rsidRDefault="0079225C" w:rsidP="0079225C">
      <w:pPr>
        <w:rPr>
          <w:bCs/>
        </w:rPr>
      </w:pPr>
      <w:r w:rsidRPr="0079225C">
        <w:rPr>
          <w:bCs/>
        </w:rPr>
        <w:t>•co</w:t>
      </w:r>
      <w:r>
        <w:rPr>
          <w:bCs/>
        </w:rPr>
        <w:t>ncept verstoorde gehechtheid</w:t>
      </w:r>
    </w:p>
    <w:p w:rsidR="0079225C" w:rsidRPr="0079225C" w:rsidRDefault="0079225C" w:rsidP="0079225C">
      <w:pPr>
        <w:rPr>
          <w:bCs/>
        </w:rPr>
      </w:pPr>
      <w:r w:rsidRPr="0079225C">
        <w:rPr>
          <w:bCs/>
        </w:rPr>
        <w:t>•gedrags</w:t>
      </w:r>
      <w:r>
        <w:rPr>
          <w:bCs/>
        </w:rPr>
        <w:t>signalen verstoorde gehechtheid</w:t>
      </w:r>
    </w:p>
    <w:p w:rsidR="0079225C" w:rsidRPr="0079225C" w:rsidRDefault="0079225C" w:rsidP="0079225C">
      <w:pPr>
        <w:rPr>
          <w:bCs/>
        </w:rPr>
      </w:pPr>
      <w:r w:rsidRPr="0079225C">
        <w:rPr>
          <w:bCs/>
        </w:rPr>
        <w:t>•DAI i</w:t>
      </w:r>
      <w:r>
        <w:rPr>
          <w:bCs/>
        </w:rPr>
        <w:t>tems die passen bij RAD en DSED</w:t>
      </w:r>
    </w:p>
    <w:p w:rsidR="0079225C" w:rsidRPr="0079225C" w:rsidRDefault="0079225C" w:rsidP="0079225C">
      <w:pPr>
        <w:rPr>
          <w:bCs/>
        </w:rPr>
      </w:pPr>
      <w:r>
        <w:rPr>
          <w:bCs/>
        </w:rPr>
        <w:t>•schaalvorming volgens de DSM-5</w:t>
      </w:r>
    </w:p>
    <w:p w:rsidR="0079225C" w:rsidRPr="0079225C" w:rsidRDefault="0079225C" w:rsidP="0079225C">
      <w:pPr>
        <w:rPr>
          <w:bCs/>
        </w:rPr>
      </w:pPr>
      <w:r w:rsidRPr="0079225C">
        <w:rPr>
          <w:bCs/>
        </w:rPr>
        <w:t>•wetensch</w:t>
      </w:r>
      <w:r>
        <w:rPr>
          <w:bCs/>
        </w:rPr>
        <w:t>appelijk onderzoek naar/met DAI</w:t>
      </w:r>
    </w:p>
    <w:p w:rsidR="0079225C" w:rsidRPr="0079225C" w:rsidRDefault="0079225C" w:rsidP="0079225C">
      <w:pPr>
        <w:rPr>
          <w:bCs/>
        </w:rPr>
      </w:pPr>
      <w:r w:rsidRPr="0079225C">
        <w:rPr>
          <w:bCs/>
        </w:rPr>
        <w:t>•FAQ DAI scoring en interpretatie</w:t>
      </w:r>
    </w:p>
    <w:p w:rsidR="0079225C" w:rsidRPr="0079225C" w:rsidRDefault="0079225C" w:rsidP="0079225C">
      <w:pPr>
        <w:rPr>
          <w:bCs/>
        </w:rPr>
      </w:pPr>
      <w:r w:rsidRPr="0079225C">
        <w:rPr>
          <w:bCs/>
        </w:rPr>
        <w:t>•betrouwbaarheid toetsing</w:t>
      </w:r>
    </w:p>
    <w:p w:rsidR="0079225C" w:rsidRPr="0079225C" w:rsidRDefault="0079225C" w:rsidP="0079225C">
      <w:pPr>
        <w:rPr>
          <w:bCs/>
        </w:rPr>
      </w:pPr>
      <w:bookmarkStart w:id="0" w:name="_GoBack"/>
      <w:bookmarkEnd w:id="0"/>
    </w:p>
    <w:p w:rsidR="0079225C" w:rsidRPr="000413ED" w:rsidRDefault="0079225C" w:rsidP="0079225C">
      <w:pPr>
        <w:rPr>
          <w:bCs/>
        </w:rPr>
      </w:pPr>
      <w:r w:rsidRPr="0079225C">
        <w:rPr>
          <w:bCs/>
        </w:rPr>
        <w:t>Naast het bestuderen van de literatuur en volgen van de lesdagen dien je rekening te houden met tenminste 4 uur aan klinische praktijkopdrachten per lesdag. De praktijkopdrachten hebben betrekking op het afnemen, scoren en interpreteren van het instrument en het reflecteren op jouw eigen functioneren hierbij.</w:t>
      </w:r>
    </w:p>
    <w:p w:rsidR="0079225C" w:rsidRDefault="0079225C" w:rsidP="0079225C">
      <w:pPr>
        <w:rPr>
          <w:b/>
          <w:bCs/>
        </w:rPr>
      </w:pPr>
    </w:p>
    <w:p w:rsidR="0079225C" w:rsidRPr="0079225C" w:rsidRDefault="0079225C" w:rsidP="0079225C">
      <w:pPr>
        <w:rPr>
          <w:b/>
          <w:bCs/>
        </w:rPr>
      </w:pPr>
      <w:r w:rsidRPr="0079225C">
        <w:rPr>
          <w:b/>
          <w:bCs/>
        </w:rPr>
        <w:t>Toetsen</w:t>
      </w:r>
    </w:p>
    <w:p w:rsidR="0079225C" w:rsidRDefault="0079225C" w:rsidP="0079225C">
      <w:pPr>
        <w:rPr>
          <w:bCs/>
        </w:rPr>
      </w:pPr>
      <w:r w:rsidRPr="0079225C">
        <w:rPr>
          <w:bCs/>
        </w:rPr>
        <w:t xml:space="preserve">Na afloop van de training krijg je een eindtoets mee naar huis die resulteert in de vaststelling of je betrouwbaar bent bevonden in afname, scoring en interpretatie van </w:t>
      </w:r>
      <w:proofErr w:type="spellStart"/>
      <w:r w:rsidRPr="0079225C">
        <w:rPr>
          <w:bCs/>
        </w:rPr>
        <w:t>Disturbances</w:t>
      </w:r>
      <w:proofErr w:type="spellEnd"/>
      <w:r w:rsidRPr="0079225C">
        <w:rPr>
          <w:bCs/>
        </w:rPr>
        <w:t xml:space="preserve"> of Attachment Interviews. Indien je de cursus volledig voldoende hebt afgerond (zie ook: Certificaat), ben je bevoegd het instrument te gebruiken in jouw praktijk.</w:t>
      </w:r>
    </w:p>
    <w:p w:rsidR="0079225C" w:rsidRDefault="0079225C" w:rsidP="0079225C">
      <w:pPr>
        <w:rPr>
          <w:b/>
          <w:bCs/>
        </w:rPr>
      </w:pPr>
    </w:p>
    <w:p w:rsidR="0079225C" w:rsidRDefault="0079225C" w:rsidP="0079225C">
      <w:pPr>
        <w:rPr>
          <w:bCs/>
        </w:rPr>
      </w:pPr>
      <w:r w:rsidRPr="00FD23C8">
        <w:rPr>
          <w:b/>
          <w:bCs/>
        </w:rPr>
        <w:t>Certificaat</w:t>
      </w:r>
      <w:r w:rsidRPr="00FD23C8">
        <w:rPr>
          <w:b/>
          <w:bCs/>
        </w:rPr>
        <w:br/>
      </w:r>
      <w:r w:rsidRPr="0079225C">
        <w:rPr>
          <w:bCs/>
        </w:rPr>
        <w:t xml:space="preserve">Je ontvangt een certificaat indien je 100% aanwezig bent geweest en de cursus met goed gevolg hebt afgerond. Daarnaast ontvang je bij gebleken betrouwbaarheid in het scoren van </w:t>
      </w:r>
      <w:proofErr w:type="spellStart"/>
      <w:r w:rsidRPr="0079225C">
        <w:rPr>
          <w:bCs/>
        </w:rPr>
        <w:t>Disturbances</w:t>
      </w:r>
      <w:proofErr w:type="spellEnd"/>
      <w:r w:rsidRPr="0079225C">
        <w:rPr>
          <w:bCs/>
        </w:rPr>
        <w:t xml:space="preserve"> of Attachment Interviews een Betrouwbaarheidscertificaat (Vrije Universiteit Amsterdam). Je dient hiervoor bij de eindtoets een positieve beoordeling te hebben behaald en voldoende betrouwbaar (&gt;.80) gebleken te zijn op zowel afname, scoring als interpretatie van de scores. Op het certificaat worden deze betrouwbaarheidsgegevens opgenomen. Hiermee ben je gecertificeerd om de DAI af te nemen en te beoordelen in de klinische en/of theoretisch-wetenschappelijke onderzoekspraktijk. Je ondertekent een Verklaring van Vertrouwelijkheid.</w:t>
      </w:r>
    </w:p>
    <w:p w:rsidR="0079225C" w:rsidRDefault="0079225C" w:rsidP="0079225C">
      <w:pPr>
        <w:rPr>
          <w:b/>
          <w:bCs/>
        </w:rPr>
      </w:pPr>
    </w:p>
    <w:p w:rsidR="0079225C" w:rsidRPr="000A00F9" w:rsidRDefault="0079225C" w:rsidP="0079225C">
      <w:pPr>
        <w:rPr>
          <w:b/>
        </w:rPr>
      </w:pPr>
      <w:r w:rsidRPr="000A00F9">
        <w:rPr>
          <w:b/>
        </w:rPr>
        <w:t>Meer informatie</w:t>
      </w:r>
    </w:p>
    <w:p w:rsidR="0079225C" w:rsidRPr="000A00F9" w:rsidRDefault="0079225C" w:rsidP="0079225C">
      <w:r w:rsidRPr="000A00F9">
        <w:t xml:space="preserve">Voor meer informatie kunt u contact opnemen met </w:t>
      </w:r>
      <w:proofErr w:type="spellStart"/>
      <w:r w:rsidRPr="000A00F9">
        <w:t>infodesk</w:t>
      </w:r>
      <w:proofErr w:type="spellEnd"/>
      <w:r w:rsidRPr="000A00F9">
        <w:t xml:space="preserve"> bij- en nascholing via </w:t>
      </w:r>
    </w:p>
    <w:p w:rsidR="0079225C" w:rsidRPr="000A00F9" w:rsidRDefault="0079225C" w:rsidP="0079225C">
      <w:r w:rsidRPr="000A00F9">
        <w:t>(030) 230 84 50 of infodeskBNS@rinogroep.nl.</w:t>
      </w:r>
    </w:p>
    <w:p w:rsidR="0079225C" w:rsidRPr="000A00F9" w:rsidRDefault="0079225C" w:rsidP="0079225C"/>
    <w:p w:rsidR="00CA3DD9" w:rsidRDefault="00CA3DD9"/>
    <w:sectPr w:rsidR="00CA3DD9">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Regular">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ADScal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A7" w:rsidRPr="00B16358" w:rsidRDefault="00294FDD" w:rsidP="004C68A7">
    <w:pPr>
      <w:autoSpaceDE w:val="0"/>
      <w:autoSpaceDN w:val="0"/>
      <w:adjustRightInd w:val="0"/>
      <w:rPr>
        <w:rFonts w:cs="ADScala-Italic"/>
        <w:i/>
        <w:iCs/>
        <w:color w:val="B84F1A"/>
        <w:sz w:val="16"/>
        <w:szCs w:val="16"/>
        <w:lang w:eastAsia="en-US"/>
      </w:rPr>
    </w:pPr>
    <w:r w:rsidRPr="00B16358">
      <w:rPr>
        <w:rFonts w:cs="ADScala-Italic"/>
        <w:i/>
        <w:iCs/>
        <w:color w:val="B84F1A"/>
        <w:sz w:val="16"/>
        <w:szCs w:val="16"/>
        <w:lang w:eastAsia="en-US"/>
      </w:rPr>
      <w:t xml:space="preserve">Bezoekadres </w:t>
    </w:r>
    <w:r w:rsidRPr="00B16358">
      <w:rPr>
        <w:rFonts w:cs="ADScala-Italic"/>
        <w:i/>
        <w:iCs/>
        <w:color w:val="B84F1A"/>
        <w:sz w:val="16"/>
        <w:szCs w:val="16"/>
        <w:lang w:eastAsia="en-US"/>
      </w:rPr>
      <w:tab/>
    </w:r>
    <w:r w:rsidRPr="00B16358">
      <w:rPr>
        <w:rFonts w:cs="ADScala-Italic"/>
        <w:i/>
        <w:iCs/>
        <w:color w:val="B84F1A"/>
        <w:sz w:val="16"/>
        <w:szCs w:val="16"/>
        <w:lang w:eastAsia="en-US"/>
      </w:rPr>
      <w:tab/>
      <w:t>Postadres</w:t>
    </w:r>
  </w:p>
  <w:p w:rsidR="004C68A7" w:rsidRPr="00B16358" w:rsidRDefault="00294FDD" w:rsidP="004C68A7">
    <w:pPr>
      <w:autoSpaceDE w:val="0"/>
      <w:autoSpaceDN w:val="0"/>
      <w:adjustRightInd w:val="0"/>
      <w:rPr>
        <w:color w:val="003362"/>
        <w:sz w:val="16"/>
        <w:szCs w:val="16"/>
        <w:lang w:val="en-US" w:eastAsia="en-US"/>
      </w:rPr>
    </w:pPr>
    <w:r w:rsidRPr="00B16358">
      <w:rPr>
        <w:color w:val="003362"/>
        <w:sz w:val="16"/>
        <w:szCs w:val="16"/>
        <w:lang w:val="en-US" w:eastAsia="en-US"/>
      </w:rPr>
      <w:t xml:space="preserve">St. </w:t>
    </w:r>
    <w:proofErr w:type="spellStart"/>
    <w:r w:rsidRPr="00B16358">
      <w:rPr>
        <w:color w:val="003362"/>
        <w:sz w:val="16"/>
        <w:szCs w:val="16"/>
        <w:lang w:val="en-US" w:eastAsia="en-US"/>
      </w:rPr>
      <w:t>Jacobsstraat</w:t>
    </w:r>
    <w:proofErr w:type="spellEnd"/>
    <w:r w:rsidRPr="00B16358">
      <w:rPr>
        <w:color w:val="003362"/>
        <w:sz w:val="16"/>
        <w:szCs w:val="16"/>
        <w:lang w:val="en-US" w:eastAsia="en-US"/>
      </w:rPr>
      <w:t xml:space="preserve"> 12-14 </w:t>
    </w:r>
    <w:r w:rsidRPr="00B16358">
      <w:rPr>
        <w:color w:val="003362"/>
        <w:sz w:val="16"/>
        <w:szCs w:val="16"/>
        <w:lang w:val="en-US" w:eastAsia="en-US"/>
      </w:rPr>
      <w:tab/>
      <w:t xml:space="preserve">Postbus 347 </w:t>
    </w:r>
    <w:r>
      <w:rPr>
        <w:color w:val="003362"/>
        <w:sz w:val="16"/>
        <w:szCs w:val="16"/>
        <w:lang w:val="en-US" w:eastAsia="en-US"/>
      </w:rPr>
      <w:tab/>
    </w:r>
    <w:r w:rsidRPr="00B16358">
      <w:rPr>
        <w:color w:val="FF0000"/>
        <w:sz w:val="16"/>
        <w:szCs w:val="16"/>
        <w:lang w:val="en-US" w:eastAsia="en-US"/>
      </w:rPr>
      <w:t>T</w:t>
    </w:r>
    <w:r w:rsidRPr="00B16358">
      <w:rPr>
        <w:color w:val="B84F1A"/>
        <w:sz w:val="16"/>
        <w:szCs w:val="16"/>
        <w:lang w:val="en-US" w:eastAsia="en-US"/>
      </w:rPr>
      <w:t xml:space="preserve"> </w:t>
    </w:r>
    <w:r w:rsidRPr="00B16358">
      <w:rPr>
        <w:color w:val="003362"/>
        <w:sz w:val="16"/>
        <w:szCs w:val="16"/>
        <w:lang w:val="en-US" w:eastAsia="en-US"/>
      </w:rPr>
      <w:t xml:space="preserve">(030) 230 84 00 </w:t>
    </w:r>
    <w:r>
      <w:rPr>
        <w:color w:val="003362"/>
        <w:sz w:val="16"/>
        <w:szCs w:val="16"/>
        <w:lang w:val="en-US" w:eastAsia="en-US"/>
      </w:rPr>
      <w:tab/>
    </w:r>
    <w:r w:rsidRPr="00B16358">
      <w:rPr>
        <w:color w:val="FF0000"/>
        <w:sz w:val="16"/>
        <w:szCs w:val="16"/>
        <w:lang w:val="en-US" w:eastAsia="en-US"/>
      </w:rPr>
      <w:t xml:space="preserve">  E</w:t>
    </w:r>
    <w:r w:rsidRPr="00B16358">
      <w:rPr>
        <w:color w:val="FF0000"/>
        <w:sz w:val="16"/>
        <w:szCs w:val="16"/>
        <w:lang w:val="en-US" w:eastAsia="en-US"/>
      </w:rPr>
      <w:t xml:space="preserve"> </w:t>
    </w:r>
    <w:r w:rsidRPr="00B16358">
      <w:rPr>
        <w:color w:val="003362"/>
        <w:sz w:val="16"/>
        <w:szCs w:val="16"/>
        <w:lang w:val="en-US" w:eastAsia="en-US"/>
      </w:rPr>
      <w:t>rino@rinogroep.nl</w:t>
    </w:r>
  </w:p>
  <w:p w:rsidR="004C68A7" w:rsidRPr="00B16358" w:rsidRDefault="00294FDD" w:rsidP="004C68A7">
    <w:pPr>
      <w:pStyle w:val="Voettekst"/>
      <w:rPr>
        <w:sz w:val="16"/>
        <w:szCs w:val="16"/>
      </w:rPr>
    </w:pPr>
    <w:r w:rsidRPr="00B16358">
      <w:rPr>
        <w:color w:val="003362"/>
        <w:sz w:val="16"/>
        <w:szCs w:val="16"/>
        <w:lang w:eastAsia="en-US"/>
      </w:rPr>
      <w:t>351</w:t>
    </w:r>
    <w:r w:rsidRPr="00B16358">
      <w:rPr>
        <w:color w:val="003362"/>
        <w:sz w:val="16"/>
        <w:szCs w:val="16"/>
        <w:lang w:eastAsia="en-US"/>
      </w:rPr>
      <w:t xml:space="preserve">1 </w:t>
    </w:r>
    <w:proofErr w:type="spellStart"/>
    <w:r w:rsidRPr="00B16358">
      <w:rPr>
        <w:color w:val="003362"/>
        <w:sz w:val="16"/>
        <w:szCs w:val="16"/>
        <w:lang w:eastAsia="en-US"/>
      </w:rPr>
      <w:t>bs</w:t>
    </w:r>
    <w:proofErr w:type="spellEnd"/>
    <w:r w:rsidRPr="00B16358">
      <w:rPr>
        <w:color w:val="003362"/>
        <w:sz w:val="16"/>
        <w:szCs w:val="16"/>
        <w:lang w:eastAsia="en-US"/>
      </w:rPr>
      <w:t xml:space="preserve"> Utrecht                           3500 ah Utrecht </w:t>
    </w:r>
    <w:r>
      <w:rPr>
        <w:color w:val="003362"/>
        <w:sz w:val="16"/>
        <w:szCs w:val="16"/>
        <w:lang w:eastAsia="en-US"/>
      </w:rPr>
      <w:tab/>
      <w:t xml:space="preserve">        </w:t>
    </w:r>
    <w:r w:rsidRPr="00B16358">
      <w:rPr>
        <w:color w:val="FF0000"/>
        <w:sz w:val="16"/>
        <w:szCs w:val="16"/>
        <w:lang w:eastAsia="en-US"/>
      </w:rPr>
      <w:t>F</w:t>
    </w:r>
    <w:r w:rsidRPr="00B16358">
      <w:rPr>
        <w:color w:val="B84F1A"/>
        <w:sz w:val="16"/>
        <w:szCs w:val="16"/>
        <w:lang w:eastAsia="en-US"/>
      </w:rPr>
      <w:t xml:space="preserve"> </w:t>
    </w:r>
    <w:r>
      <w:rPr>
        <w:color w:val="003362"/>
        <w:sz w:val="16"/>
        <w:szCs w:val="16"/>
        <w:lang w:eastAsia="en-US"/>
      </w:rPr>
      <w:t xml:space="preserve">(030) 230 84 9         </w:t>
    </w:r>
    <w:r w:rsidRPr="00B16358">
      <w:rPr>
        <w:color w:val="FF0000"/>
        <w:sz w:val="16"/>
        <w:szCs w:val="16"/>
        <w:lang w:eastAsia="en-US"/>
      </w:rPr>
      <w:t>I</w:t>
    </w:r>
    <w:r w:rsidRPr="00B16358">
      <w:rPr>
        <w:color w:val="B84F1A"/>
        <w:sz w:val="16"/>
        <w:szCs w:val="16"/>
        <w:lang w:eastAsia="en-US"/>
      </w:rPr>
      <w:t xml:space="preserve"> </w:t>
    </w:r>
    <w:r w:rsidRPr="00B16358">
      <w:rPr>
        <w:color w:val="003362"/>
        <w:sz w:val="16"/>
        <w:szCs w:val="16"/>
        <w:lang w:eastAsia="en-US"/>
      </w:rPr>
      <w:t>www.rinogroep.nl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5F" w:rsidRPr="00520326" w:rsidRDefault="0079225C" w:rsidP="004C68A7">
    <w:pPr>
      <w:pStyle w:val="Koptekst"/>
      <w:jc w:val="right"/>
    </w:pPr>
    <w:r w:rsidRPr="00520326">
      <w:rPr>
        <w:noProof/>
      </w:rPr>
      <w:drawing>
        <wp:inline distT="0" distB="0" distL="0" distR="0">
          <wp:extent cx="1085850" cy="495300"/>
          <wp:effectExtent l="0" t="0" r="0" b="0"/>
          <wp:docPr id="1" name="Afbeelding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87251"/>
    <w:multiLevelType w:val="multilevel"/>
    <w:tmpl w:val="9ED2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75D47"/>
    <w:multiLevelType w:val="multilevel"/>
    <w:tmpl w:val="64D8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5C"/>
    <w:rsid w:val="00294FDD"/>
    <w:rsid w:val="0079225C"/>
    <w:rsid w:val="00CA3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1D9E"/>
  <w15:chartTrackingRefBased/>
  <w15:docId w15:val="{BB9F7C85-FDC0-4A7B-BDAF-2DA195CC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9225C"/>
    <w:pPr>
      <w:spacing w:after="0" w:line="240" w:lineRule="auto"/>
    </w:pPr>
    <w:rPr>
      <w:rFonts w:ascii="Scala-Regular" w:eastAsia="Times New Roman" w:hAnsi="Scala-Regular" w:cs="Times New Roman"/>
      <w:sz w:val="23"/>
      <w:szCs w:val="2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9225C"/>
    <w:rPr>
      <w:rFonts w:ascii="Arial" w:hAnsi="Arial" w:cs="Arial" w:hint="default"/>
      <w:color w:val="002350"/>
      <w:sz w:val="18"/>
      <w:szCs w:val="18"/>
      <w:u w:val="single"/>
    </w:rPr>
  </w:style>
  <w:style w:type="paragraph" w:styleId="Koptekst">
    <w:name w:val="header"/>
    <w:basedOn w:val="Standaard"/>
    <w:link w:val="KoptekstChar"/>
    <w:rsid w:val="0079225C"/>
    <w:pPr>
      <w:tabs>
        <w:tab w:val="center" w:pos="4536"/>
        <w:tab w:val="right" w:pos="9072"/>
      </w:tabs>
    </w:pPr>
  </w:style>
  <w:style w:type="character" w:customStyle="1" w:styleId="KoptekstChar">
    <w:name w:val="Koptekst Char"/>
    <w:basedOn w:val="Standaardalinea-lettertype"/>
    <w:link w:val="Koptekst"/>
    <w:rsid w:val="0079225C"/>
    <w:rPr>
      <w:rFonts w:ascii="Scala-Regular" w:eastAsia="Times New Roman" w:hAnsi="Scala-Regular" w:cs="Times New Roman"/>
      <w:sz w:val="23"/>
      <w:szCs w:val="23"/>
      <w:lang w:eastAsia="nl-NL"/>
    </w:rPr>
  </w:style>
  <w:style w:type="paragraph" w:styleId="Voettekst">
    <w:name w:val="footer"/>
    <w:basedOn w:val="Standaard"/>
    <w:link w:val="VoettekstChar"/>
    <w:rsid w:val="0079225C"/>
    <w:pPr>
      <w:tabs>
        <w:tab w:val="center" w:pos="4536"/>
        <w:tab w:val="right" w:pos="9072"/>
      </w:tabs>
    </w:pPr>
  </w:style>
  <w:style w:type="character" w:customStyle="1" w:styleId="VoettekstChar">
    <w:name w:val="Voettekst Char"/>
    <w:basedOn w:val="Standaardalinea-lettertype"/>
    <w:link w:val="Voettekst"/>
    <w:rsid w:val="0079225C"/>
    <w:rPr>
      <w:rFonts w:ascii="Scala-Regular" w:eastAsia="Times New Roman" w:hAnsi="Scala-Regular" w:cs="Times New Roman"/>
      <w:sz w:val="23"/>
      <w:szCs w:val="2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Jurriën Drenth</dc:creator>
  <cp:keywords/>
  <dc:description/>
  <cp:lastModifiedBy>Jurriën Drenth</cp:lastModifiedBy>
  <cp:revision>2</cp:revision>
  <dcterms:created xsi:type="dcterms:W3CDTF">2016-12-16T15:22:00Z</dcterms:created>
  <dcterms:modified xsi:type="dcterms:W3CDTF">2016-12-16T15:28:00Z</dcterms:modified>
</cp:coreProperties>
</file>